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7" w:rsidRPr="006A6E97" w:rsidRDefault="00050724" w:rsidP="006A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ПАРТНЕРСКИЙ</w:t>
      </w:r>
      <w:r w:rsidR="006A6E97" w:rsidRPr="006A6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№ </w:t>
      </w:r>
      <w:r w:rsidR="006A6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6389"/>
      </w:tblGrid>
      <w:tr w:rsidR="006A6E97" w:rsidRPr="006A6E97" w:rsidTr="006A6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E97" w:rsidRPr="006A6E97" w:rsidRDefault="006A6E97" w:rsidP="006A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vAlign w:val="center"/>
            <w:hideMark/>
          </w:tcPr>
          <w:p w:rsidR="006A6E97" w:rsidRPr="006A6E97" w:rsidRDefault="006A6E97" w:rsidP="006A6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</w:t>
            </w:r>
            <w:r w:rsidRPr="006A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20___ г.</w:t>
            </w:r>
          </w:p>
        </w:tc>
      </w:tr>
      <w:tr w:rsidR="009B1BCC" w:rsidRPr="006A6E97" w:rsidTr="006A6E97">
        <w:trPr>
          <w:tblCellSpacing w:w="15" w:type="dxa"/>
        </w:trPr>
        <w:tc>
          <w:tcPr>
            <w:tcW w:w="0" w:type="auto"/>
            <w:vAlign w:val="center"/>
          </w:tcPr>
          <w:p w:rsidR="009B1BCC" w:rsidRPr="006A6E97" w:rsidRDefault="009B1BCC" w:rsidP="006A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1BCC" w:rsidRDefault="009B1BCC" w:rsidP="006A6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E97" w:rsidRDefault="006A6E97" w:rsidP="00B660D5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Зубко Леонид Вячеславович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E2E">
        <w:rPr>
          <w:rFonts w:ascii="Times New Roman" w:hAnsi="Times New Roman"/>
          <w:spacing w:val="-1"/>
          <w:sz w:val="24"/>
          <w:szCs w:val="24"/>
        </w:rPr>
        <w:t xml:space="preserve">(свидетельство </w:t>
      </w:r>
      <w:r w:rsidRPr="000F0E2E">
        <w:rPr>
          <w:rFonts w:ascii="Times New Roman" w:hAnsi="Times New Roman" w:cs="Times New Roman"/>
          <w:sz w:val="24"/>
          <w:szCs w:val="24"/>
        </w:rPr>
        <w:t>307 421 703 100 017 от 31 января 2007 года, выданного Инспекцией Федеральной налоговой службы по Центральному району города Новокузнецка Кемеровской области)</w:t>
      </w:r>
      <w:r w:rsidRPr="000F0E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менуемый в дальнейшем «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_______________________________________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>_, именуемый в дальнейшем «</w:t>
      </w:r>
      <w:r w:rsidR="0008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в дальнейшем </w:t>
      </w:r>
      <w:r w:rsidR="009B1BCC" w:rsidRPr="00C5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BC71B0" w:rsidRDefault="00BC71B0" w:rsidP="00BC71B0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C62955" w:rsidRPr="00F23934" w:rsidRDefault="00C62955" w:rsidP="00737299">
      <w:pPr>
        <w:pStyle w:val="ad"/>
        <w:spacing w:before="240" w:after="240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Партнер </w:t>
      </w:r>
      <w:r w:rsidR="00737299" w:rsidRPr="00737299">
        <w:rPr>
          <w:sz w:val="24"/>
          <w:szCs w:val="24"/>
          <w:lang w:val="ru-RU"/>
        </w:rPr>
        <w:t>–</w:t>
      </w:r>
      <w:r w:rsidRPr="00737299">
        <w:rPr>
          <w:sz w:val="24"/>
          <w:szCs w:val="24"/>
          <w:lang w:val="ru-RU"/>
        </w:rPr>
        <w:t xml:space="preserve"> </w:t>
      </w:r>
      <w:r w:rsidR="00737299" w:rsidRPr="00737299">
        <w:rPr>
          <w:sz w:val="24"/>
          <w:szCs w:val="24"/>
          <w:lang w:val="ru-RU"/>
        </w:rPr>
        <w:t xml:space="preserve">участник Партнерской программы, </w:t>
      </w:r>
      <w:r w:rsidR="00F23934" w:rsidRPr="00F23934">
        <w:rPr>
          <w:sz w:val="24"/>
          <w:szCs w:val="24"/>
          <w:lang w:val="ru-RU"/>
        </w:rPr>
        <w:t xml:space="preserve">заключивший </w:t>
      </w:r>
      <w:r w:rsidR="00F23934">
        <w:rPr>
          <w:sz w:val="24"/>
          <w:szCs w:val="24"/>
          <w:lang w:val="ru-RU"/>
        </w:rPr>
        <w:t xml:space="preserve">с Исполнителем настоящий </w:t>
      </w:r>
      <w:r w:rsidR="00F23934" w:rsidRPr="00F23934">
        <w:rPr>
          <w:sz w:val="24"/>
          <w:szCs w:val="24"/>
          <w:lang w:val="ru-RU"/>
        </w:rPr>
        <w:t>Партнерский договор</w:t>
      </w:r>
      <w:r w:rsidR="00F23934">
        <w:rPr>
          <w:sz w:val="24"/>
          <w:szCs w:val="24"/>
          <w:lang w:val="ru-RU"/>
        </w:rPr>
        <w:t>.</w:t>
      </w:r>
    </w:p>
    <w:p w:rsidR="00737299" w:rsidRPr="00737299" w:rsidRDefault="00737299" w:rsidP="007372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29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или физическое лицо</w:t>
      </w:r>
      <w:r w:rsidR="00F23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индивидуальный предприниматель, заключившие</w:t>
      </w:r>
      <w:r w:rsidRPr="0073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</w:t>
      </w:r>
      <w:r w:rsidR="00F239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от </w:t>
      </w:r>
      <w:r w:rsidR="00F2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Партнера, Договор публичной оферты на оказание услуг и предоставление дополнительных работ с Исполнителем.</w:t>
      </w:r>
    </w:p>
    <w:p w:rsidR="00737299" w:rsidRPr="00F23934" w:rsidRDefault="00F23934" w:rsidP="00737299">
      <w:pPr>
        <w:pStyle w:val="ad"/>
        <w:spacing w:before="240"/>
        <w:ind w:left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Сайт Исполнителя</w:t>
      </w:r>
      <w:r w:rsidRPr="00F239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F23934">
        <w:rPr>
          <w:sz w:val="24"/>
          <w:szCs w:val="24"/>
          <w:lang w:val="ru-RU"/>
        </w:rPr>
        <w:t xml:space="preserve"> http://www.saviro.ru/</w:t>
      </w:r>
    </w:p>
    <w:p w:rsidR="00BC71B0" w:rsidRDefault="00C62955" w:rsidP="00737299">
      <w:pPr>
        <w:pStyle w:val="ad"/>
        <w:spacing w:before="240"/>
        <w:ind w:left="0"/>
        <w:jc w:val="both"/>
        <w:rPr>
          <w:rStyle w:val="a4"/>
          <w:sz w:val="24"/>
          <w:szCs w:val="24"/>
          <w:lang w:val="ru-RU"/>
        </w:rPr>
      </w:pPr>
      <w:proofErr w:type="spellStart"/>
      <w:r>
        <w:rPr>
          <w:sz w:val="24"/>
          <w:szCs w:val="24"/>
          <w:u w:val="single"/>
          <w:lang w:val="ru-RU"/>
        </w:rPr>
        <w:t>Биллинговая</w:t>
      </w:r>
      <w:proofErr w:type="spellEnd"/>
      <w:r>
        <w:rPr>
          <w:sz w:val="24"/>
          <w:szCs w:val="24"/>
          <w:u w:val="single"/>
          <w:lang w:val="ru-RU"/>
        </w:rPr>
        <w:t xml:space="preserve"> панель</w:t>
      </w:r>
      <w:r w:rsidR="00BC71B0" w:rsidRPr="00BC71B0">
        <w:rPr>
          <w:sz w:val="24"/>
          <w:szCs w:val="24"/>
          <w:lang w:val="ru-RU"/>
        </w:rPr>
        <w:t xml:space="preserve"> – набор необходимых инструментов, предоставленных Исполнителем </w:t>
      </w:r>
      <w:r>
        <w:rPr>
          <w:sz w:val="24"/>
          <w:szCs w:val="24"/>
          <w:lang w:val="ru-RU"/>
        </w:rPr>
        <w:t>Партнеру</w:t>
      </w:r>
      <w:r w:rsidR="00BC71B0" w:rsidRPr="00BC71B0">
        <w:rPr>
          <w:sz w:val="24"/>
          <w:szCs w:val="24"/>
          <w:lang w:val="ru-RU"/>
        </w:rPr>
        <w:t xml:space="preserve"> для </w:t>
      </w:r>
      <w:r>
        <w:rPr>
          <w:sz w:val="24"/>
          <w:szCs w:val="24"/>
          <w:lang w:val="ru-RU"/>
        </w:rPr>
        <w:t>учета Клиентов, приведенных им</w:t>
      </w:r>
      <w:r w:rsidR="00BC71B0" w:rsidRPr="00BC71B0">
        <w:rPr>
          <w:sz w:val="24"/>
          <w:szCs w:val="24"/>
          <w:lang w:val="ru-RU"/>
        </w:rPr>
        <w:t xml:space="preserve">, </w:t>
      </w:r>
      <w:r w:rsidR="00BC71B0" w:rsidRPr="00BC71B0">
        <w:rPr>
          <w:spacing w:val="-1"/>
          <w:sz w:val="24"/>
          <w:szCs w:val="24"/>
          <w:lang w:val="ru-RU"/>
        </w:rPr>
        <w:t>доступ</w:t>
      </w:r>
      <w:r w:rsidR="00BC71B0" w:rsidRPr="00BC71B0">
        <w:rPr>
          <w:sz w:val="24"/>
          <w:szCs w:val="24"/>
          <w:lang w:val="ru-RU"/>
        </w:rPr>
        <w:t xml:space="preserve"> к </w:t>
      </w:r>
      <w:r w:rsidR="00BC71B0" w:rsidRPr="00BC71B0">
        <w:rPr>
          <w:spacing w:val="-1"/>
          <w:sz w:val="24"/>
          <w:szCs w:val="24"/>
          <w:lang w:val="ru-RU"/>
        </w:rPr>
        <w:t>которому</w:t>
      </w:r>
      <w:r w:rsidR="00BC71B0" w:rsidRPr="00BC71B0">
        <w:rPr>
          <w:spacing w:val="-3"/>
          <w:sz w:val="24"/>
          <w:szCs w:val="24"/>
          <w:lang w:val="ru-RU"/>
        </w:rPr>
        <w:t xml:space="preserve"> </w:t>
      </w:r>
      <w:r w:rsidR="00BC71B0" w:rsidRPr="00BC71B0">
        <w:rPr>
          <w:spacing w:val="-1"/>
          <w:sz w:val="24"/>
          <w:szCs w:val="24"/>
          <w:lang w:val="ru-RU"/>
        </w:rPr>
        <w:t>возможен</w:t>
      </w:r>
      <w:r w:rsidR="00BC71B0" w:rsidRPr="00BC71B0">
        <w:rPr>
          <w:sz w:val="24"/>
          <w:szCs w:val="24"/>
          <w:lang w:val="ru-RU"/>
        </w:rPr>
        <w:t xml:space="preserve"> </w:t>
      </w:r>
      <w:r w:rsidR="00BC71B0" w:rsidRPr="00BC71B0">
        <w:rPr>
          <w:spacing w:val="-1"/>
          <w:sz w:val="24"/>
          <w:szCs w:val="24"/>
          <w:lang w:val="ru-RU"/>
        </w:rPr>
        <w:t>по</w:t>
      </w:r>
      <w:r w:rsidR="00BC71B0" w:rsidRPr="00BC71B0">
        <w:rPr>
          <w:sz w:val="24"/>
          <w:szCs w:val="24"/>
          <w:lang w:val="ru-RU"/>
        </w:rPr>
        <w:t xml:space="preserve"> </w:t>
      </w:r>
      <w:r w:rsidR="00BC71B0" w:rsidRPr="00BC71B0">
        <w:rPr>
          <w:spacing w:val="-1"/>
          <w:sz w:val="24"/>
          <w:szCs w:val="24"/>
          <w:lang w:val="ru-RU"/>
        </w:rPr>
        <w:t xml:space="preserve">адресу </w:t>
      </w:r>
      <w:hyperlink r:id="rId7" w:history="1">
        <w:r w:rsidR="00BC71B0" w:rsidRPr="00BC71B0">
          <w:rPr>
            <w:rStyle w:val="a4"/>
            <w:sz w:val="24"/>
            <w:szCs w:val="24"/>
          </w:rPr>
          <w:t>https</w:t>
        </w:r>
        <w:r w:rsidR="00BC71B0" w:rsidRPr="00BC71B0">
          <w:rPr>
            <w:rStyle w:val="a4"/>
            <w:sz w:val="24"/>
            <w:szCs w:val="24"/>
            <w:lang w:val="ru-RU"/>
          </w:rPr>
          <w:t>://</w:t>
        </w:r>
        <w:r w:rsidR="00BC71B0" w:rsidRPr="00BC71B0">
          <w:rPr>
            <w:rStyle w:val="a4"/>
            <w:sz w:val="24"/>
            <w:szCs w:val="24"/>
          </w:rPr>
          <w:t>billing</w:t>
        </w:r>
        <w:r w:rsidR="00BC71B0" w:rsidRPr="00BC71B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BC71B0" w:rsidRPr="00BC71B0">
          <w:rPr>
            <w:rStyle w:val="a4"/>
            <w:sz w:val="24"/>
            <w:szCs w:val="24"/>
            <w:lang w:val="ru-RU"/>
          </w:rPr>
          <w:t>saviro</w:t>
        </w:r>
        <w:proofErr w:type="spellEnd"/>
        <w:r w:rsidR="00BC71B0" w:rsidRPr="00BC71B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BC71B0" w:rsidRPr="00BC71B0">
          <w:rPr>
            <w:rStyle w:val="a4"/>
            <w:sz w:val="24"/>
            <w:szCs w:val="24"/>
          </w:rPr>
          <w:t>ru</w:t>
        </w:r>
        <w:proofErr w:type="spellEnd"/>
        <w:r w:rsidR="00BC71B0" w:rsidRPr="00BC71B0">
          <w:rPr>
            <w:rStyle w:val="a4"/>
            <w:sz w:val="24"/>
            <w:szCs w:val="24"/>
            <w:lang w:val="ru-RU"/>
          </w:rPr>
          <w:t>:1500/</w:t>
        </w:r>
      </w:hyperlink>
      <w:r w:rsidR="00BC71B0" w:rsidRPr="00BC71B0">
        <w:rPr>
          <w:rStyle w:val="a4"/>
          <w:sz w:val="24"/>
          <w:szCs w:val="24"/>
          <w:lang w:val="ru-RU"/>
        </w:rPr>
        <w:t>.</w:t>
      </w:r>
    </w:p>
    <w:p w:rsidR="00C62955" w:rsidRPr="00737299" w:rsidRDefault="00C62955" w:rsidP="00737299">
      <w:pPr>
        <w:pStyle w:val="ad"/>
        <w:spacing w:before="240"/>
        <w:ind w:left="0"/>
        <w:jc w:val="both"/>
        <w:rPr>
          <w:sz w:val="24"/>
          <w:szCs w:val="24"/>
          <w:lang w:val="ru-RU"/>
        </w:rPr>
      </w:pPr>
      <w:r w:rsidRPr="00C62955">
        <w:rPr>
          <w:rStyle w:val="a4"/>
          <w:color w:val="auto"/>
          <w:sz w:val="24"/>
          <w:szCs w:val="24"/>
          <w:lang w:val="ru-RU"/>
        </w:rPr>
        <w:t>Реферальная ссылка</w:t>
      </w:r>
      <w:r w:rsidRPr="00737299">
        <w:rPr>
          <w:rStyle w:val="a4"/>
          <w:color w:val="auto"/>
          <w:sz w:val="24"/>
          <w:szCs w:val="24"/>
          <w:u w:val="none"/>
          <w:lang w:val="ru-RU"/>
        </w:rPr>
        <w:t xml:space="preserve"> - </w:t>
      </w:r>
      <w:r w:rsidR="00737299" w:rsidRPr="00737299">
        <w:rPr>
          <w:sz w:val="24"/>
          <w:szCs w:val="24"/>
          <w:lang w:val="ru-RU"/>
        </w:rPr>
        <w:t>идентификационная ссылка</w:t>
      </w:r>
      <w:r w:rsidR="00737299">
        <w:rPr>
          <w:sz w:val="24"/>
          <w:szCs w:val="24"/>
          <w:lang w:val="ru-RU"/>
        </w:rPr>
        <w:t>,</w:t>
      </w:r>
      <w:r w:rsidR="00737299" w:rsidRPr="00737299">
        <w:rPr>
          <w:sz w:val="24"/>
          <w:szCs w:val="24"/>
          <w:lang w:val="ru-RU"/>
        </w:rPr>
        <w:t xml:space="preserve"> предназначенная для привлечения </w:t>
      </w:r>
      <w:r w:rsidR="00737299">
        <w:rPr>
          <w:sz w:val="24"/>
          <w:szCs w:val="24"/>
          <w:lang w:val="ru-RU"/>
        </w:rPr>
        <w:t>Клиентов</w:t>
      </w:r>
      <w:r w:rsidR="00737299" w:rsidRPr="00737299">
        <w:rPr>
          <w:sz w:val="24"/>
          <w:szCs w:val="24"/>
          <w:lang w:val="ru-RU"/>
        </w:rPr>
        <w:t xml:space="preserve"> для кон</w:t>
      </w:r>
      <w:r w:rsidR="00737299">
        <w:rPr>
          <w:sz w:val="24"/>
          <w:szCs w:val="24"/>
          <w:lang w:val="ru-RU"/>
        </w:rPr>
        <w:t>кретного Партнера. Содержит</w:t>
      </w:r>
      <w:r w:rsidR="00737299" w:rsidRPr="00737299">
        <w:rPr>
          <w:sz w:val="24"/>
          <w:szCs w:val="24"/>
          <w:lang w:val="ru-RU"/>
        </w:rPr>
        <w:t xml:space="preserve"> информацию об учётной записи </w:t>
      </w:r>
      <w:r w:rsidR="00737299">
        <w:rPr>
          <w:sz w:val="24"/>
          <w:szCs w:val="24"/>
          <w:lang w:val="ru-RU"/>
        </w:rPr>
        <w:t>Партнера</w:t>
      </w:r>
      <w:r w:rsidR="00737299" w:rsidRPr="00737299">
        <w:rPr>
          <w:sz w:val="24"/>
          <w:szCs w:val="24"/>
          <w:lang w:val="ru-RU"/>
        </w:rPr>
        <w:t xml:space="preserve">, который получит вознаграждение за привлечение </w:t>
      </w:r>
      <w:r w:rsidR="00737299">
        <w:rPr>
          <w:sz w:val="24"/>
          <w:szCs w:val="24"/>
          <w:lang w:val="ru-RU"/>
        </w:rPr>
        <w:t>Клиентов</w:t>
      </w:r>
      <w:r w:rsidR="00737299" w:rsidRPr="00737299">
        <w:rPr>
          <w:sz w:val="24"/>
          <w:szCs w:val="24"/>
          <w:lang w:val="ru-RU"/>
        </w:rPr>
        <w:t>.</w:t>
      </w:r>
    </w:p>
    <w:p w:rsidR="00BC71B0" w:rsidRDefault="00BC71B0" w:rsidP="00BC71B0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97" w:rsidRPr="006A6E97" w:rsidRDefault="006A6E97" w:rsidP="00BC71B0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 </w:t>
      </w:r>
    </w:p>
    <w:p w:rsidR="006A6E97" w:rsidRPr="006A6E97" w:rsidRDefault="00F22BAB" w:rsidP="00B660D5">
      <w:pPr>
        <w:numPr>
          <w:ilvl w:val="1"/>
          <w:numId w:val="1"/>
        </w:numPr>
        <w:tabs>
          <w:tab w:val="clear" w:pos="144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поручает, а Партнер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 имени и за счет Исполнителя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организаций и граждан (в том числе индивидуальных предпринимателей), заинтересован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предоставлении Исполнителем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хостинга. 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тексту, организации и граждане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индивидуальные предприниматели)</w:t>
      </w:r>
      <w:r w:rsidR="006A6E97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привлеченные посредством Партнера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Исполнителем услуг хостинга, 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именуются «Клиент»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E97" w:rsidRDefault="006A6E97" w:rsidP="00B660D5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указанного поручения Исполнитель выплачивает Партнеру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в соответствии с условиями настоящего Договора.</w:t>
      </w:r>
    </w:p>
    <w:p w:rsidR="0017127A" w:rsidRPr="00C563E0" w:rsidRDefault="0017127A" w:rsidP="003A6070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</w:t>
      </w:r>
      <w:r w:rsidR="00573EA0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хостинга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между Исполнителем и Клиентами, привлеченными посредством Партнера, права и обязанности возникают непосре</w:t>
      </w:r>
      <w:r w:rsidR="00573EA0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дственно у Исполнителя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070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6E97" w:rsidRPr="006A6E97" w:rsidRDefault="006A6E97" w:rsidP="003A607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СТОРОН </w:t>
      </w:r>
    </w:p>
    <w:p w:rsidR="006A6E97" w:rsidRPr="009B1BCC" w:rsidRDefault="00F22BAB" w:rsidP="003A6070">
      <w:pPr>
        <w:numPr>
          <w:ilvl w:val="1"/>
          <w:numId w:val="3"/>
        </w:numPr>
        <w:tabs>
          <w:tab w:val="clear" w:pos="1440"/>
          <w:tab w:val="left" w:pos="426"/>
          <w:tab w:val="num" w:pos="170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</w:t>
      </w:r>
      <w:r w:rsidR="006A6E97" w:rsidRPr="009B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 </w:t>
      </w:r>
    </w:p>
    <w:p w:rsidR="006A6E97" w:rsidRDefault="006A6E97" w:rsidP="003A6070">
      <w:pPr>
        <w:numPr>
          <w:ilvl w:val="2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поручением Исполнителя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поиск п</w:t>
      </w:r>
      <w:r w:rsidR="009B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отенциальных 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лиентов Исполнителя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юридических и физических лиц 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индивидуальных предпринимателей) 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проводить с ними переговоры с целью заключения договора на оказание у</w:t>
      </w:r>
      <w:r w:rsidR="009B1BCC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хостинга Исполнителем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информацией об услов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сотрудничества с Исполнителем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содержащейся 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D7182" w:rsidRPr="009762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www.saviro.ru</w:t>
        </w:r>
      </w:hyperlink>
      <w:r w:rsidR="009B1BCC" w:rsidRPr="00C563E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0D7182" w:rsidRPr="006A6E97" w:rsidRDefault="00573EA0" w:rsidP="00B660D5">
      <w:pPr>
        <w:numPr>
          <w:ilvl w:val="2"/>
          <w:numId w:val="4"/>
        </w:numPr>
        <w:tabs>
          <w:tab w:val="clear" w:pos="216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7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регламент участия в партнерской программе,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размещенный на сайте Исполнителя</w:t>
      </w:r>
      <w:r w:rsidR="000D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D7182" w:rsidRPr="000D71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www.saviro.ru</w:t>
        </w:r>
      </w:hyperlink>
      <w:r w:rsidR="002B0E90" w:rsidRPr="002B0E9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A6E97" w:rsidRPr="00C563E0" w:rsidRDefault="00573EA0" w:rsidP="00B660D5">
      <w:pPr>
        <w:numPr>
          <w:ilvl w:val="2"/>
          <w:numId w:val="4"/>
        </w:numPr>
        <w:tabs>
          <w:tab w:val="clear" w:pos="216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заключать самостоятельно от своего имени, а также от имени Исполнителя договоры                             с Клиентами, </w:t>
      </w:r>
      <w:r w:rsidR="00B95A50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денежные средства от Клиентов в счет оплаты по договорам, 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A6E97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давать 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 </w:t>
      </w:r>
      <w:r w:rsid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реферальную </w:t>
      </w:r>
      <w:r w:rsidR="006A6E97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ссылку на 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F22BAB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6A6E97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E97" w:rsidRPr="00C563E0" w:rsidRDefault="00B95A50" w:rsidP="00B660D5">
      <w:pPr>
        <w:numPr>
          <w:ilvl w:val="2"/>
          <w:numId w:val="4"/>
        </w:numPr>
        <w:tabs>
          <w:tab w:val="clear" w:pos="216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каких</w:t>
      </w:r>
      <w:r w:rsidR="00444C20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расходов, направленных</w:t>
      </w:r>
      <w:r w:rsidR="006A6E97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данного поручения.</w:t>
      </w:r>
    </w:p>
    <w:p w:rsidR="00B95A50" w:rsidRPr="00C563E0" w:rsidRDefault="00B95A50" w:rsidP="00B95A50">
      <w:pPr>
        <w:numPr>
          <w:ilvl w:val="2"/>
          <w:numId w:val="4"/>
        </w:numPr>
        <w:tabs>
          <w:tab w:val="clear" w:pos="216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третьим лицам конфиденциальные сведения, которые ему стали известны в процессе исполнения настоящего Договора, если они составляют служебную или коммерческую тайну. Информация составляет служебную или коммерческую тайну, если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принимает меры к охране ее конфиденциальности.</w:t>
      </w:r>
    </w:p>
    <w:p w:rsidR="006A6E97" w:rsidRDefault="006A6E97" w:rsidP="003A6070">
      <w:pPr>
        <w:numPr>
          <w:ilvl w:val="2"/>
          <w:numId w:val="4"/>
        </w:numPr>
        <w:tabs>
          <w:tab w:val="clear" w:pos="216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действующим законодательством Р</w:t>
      </w:r>
      <w:r w:rsidR="003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070" w:rsidRDefault="003A6070" w:rsidP="003A6070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D5" w:rsidRPr="00B660D5" w:rsidRDefault="00B660D5" w:rsidP="00B660D5">
      <w:pPr>
        <w:pStyle w:val="a9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660D5" w:rsidRPr="00B660D5" w:rsidRDefault="00B660D5" w:rsidP="00B660D5">
      <w:pPr>
        <w:pStyle w:val="a9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A6E97" w:rsidRPr="009B1BCC" w:rsidRDefault="00F22BAB" w:rsidP="00B660D5">
      <w:pPr>
        <w:numPr>
          <w:ilvl w:val="1"/>
          <w:numId w:val="5"/>
        </w:numPr>
        <w:tabs>
          <w:tab w:val="clear" w:pos="1440"/>
          <w:tab w:val="left" w:pos="426"/>
          <w:tab w:val="num" w:pos="170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6A6E97" w:rsidRPr="009B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 </w:t>
      </w:r>
    </w:p>
    <w:p w:rsidR="006A6E97" w:rsidRPr="005875D4" w:rsidRDefault="00F22BAB" w:rsidP="00B660D5">
      <w:pPr>
        <w:numPr>
          <w:ilvl w:val="2"/>
          <w:numId w:val="6"/>
        </w:numPr>
        <w:tabs>
          <w:tab w:val="clear" w:pos="2160"/>
          <w:tab w:val="left" w:pos="426"/>
          <w:tab w:val="num" w:pos="709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Партнеру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выполнения настоящего</w:t>
      </w:r>
      <w:r w:rsidR="0017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</w:t>
      </w:r>
      <w:r w:rsidR="0017127A" w:rsidRPr="00C5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достоверные сведения и информацию 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оказания услуг Исполнителем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</w:t>
      </w:r>
      <w:r w:rsidR="006A6E97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1.1 настоящего Договора.</w:t>
      </w:r>
    </w:p>
    <w:p w:rsidR="006A6E97" w:rsidRPr="005875D4" w:rsidRDefault="006A6E97" w:rsidP="00B660D5">
      <w:pPr>
        <w:numPr>
          <w:ilvl w:val="2"/>
          <w:numId w:val="6"/>
        </w:numPr>
        <w:tabs>
          <w:tab w:val="clear" w:pos="2160"/>
          <w:tab w:val="left" w:pos="426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Клиентов,</w:t>
      </w:r>
      <w:r w:rsidR="00F22BAB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привлеченных посредством Партнера</w:t>
      </w: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начислять вознаграждение</w:t>
      </w:r>
      <w:r w:rsidR="0017127A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Партнеру</w:t>
      </w: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клиентов ве</w:t>
      </w:r>
      <w:r w:rsidR="00444C20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 в личном ка</w:t>
      </w:r>
      <w:r w:rsidR="00383F34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</w:t>
      </w:r>
      <w:r w:rsidR="00383F34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Биллинговой панели</w:t>
      </w:r>
      <w:r w:rsidR="0017127A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444C20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E97" w:rsidRPr="006A6E97" w:rsidRDefault="000F0E2E" w:rsidP="00B660D5">
      <w:pPr>
        <w:numPr>
          <w:ilvl w:val="2"/>
          <w:numId w:val="6"/>
        </w:numPr>
        <w:tabs>
          <w:tab w:val="clear" w:pos="2160"/>
          <w:tab w:val="left" w:pos="426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7127A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плачивать</w:t>
      </w:r>
      <w:r w:rsidR="00F22BAB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Партнеру</w:t>
      </w:r>
      <w:r w:rsidR="006A6E97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в размере и порядке</w:t>
      </w:r>
      <w:r w:rsidR="000D7182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E97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в </w:t>
      </w:r>
      <w:r w:rsidR="00383F34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разделе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</w:t>
      </w:r>
    </w:p>
    <w:p w:rsidR="006A6E97" w:rsidRDefault="006A6E97" w:rsidP="00B660D5">
      <w:pPr>
        <w:numPr>
          <w:ilvl w:val="2"/>
          <w:numId w:val="6"/>
        </w:numPr>
        <w:tabs>
          <w:tab w:val="clear" w:pos="2160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действующим законодательством Р</w:t>
      </w:r>
      <w:r w:rsidR="003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EA0" w:rsidRPr="006A6E97" w:rsidRDefault="00573EA0" w:rsidP="00573E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97" w:rsidRPr="006A6E97" w:rsidRDefault="006A6E97" w:rsidP="00383F3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ВОЗНАГРАЖДЕНИЯ И ПОРЯДОК ЕГО ВЫПЛАТЫ </w:t>
      </w:r>
    </w:p>
    <w:p w:rsidR="00B660D5" w:rsidRPr="00602522" w:rsidRDefault="006A6E97" w:rsidP="00B660D5">
      <w:pPr>
        <w:numPr>
          <w:ilvl w:val="1"/>
          <w:numId w:val="8"/>
        </w:numPr>
        <w:tabs>
          <w:tab w:val="clear" w:pos="1440"/>
          <w:tab w:val="left" w:pos="426"/>
          <w:tab w:val="num" w:pos="1701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каждого до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говора, заключенного Исполнителем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Клиентом, привлеченн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посредством Партнера, Исполнитель выплачивает Партнеру</w:t>
      </w:r>
      <w:r w:rsidR="00B6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в размере </w:t>
      </w:r>
      <w:r w:rsidR="00F11378" w:rsidRPr="00B660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всех сумм, уплаченных Клиентом </w:t>
      </w:r>
      <w:r w:rsidR="005D196D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83013A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D196D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="0083013A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9A116A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</w:t>
      </w:r>
      <w:r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F22BAB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17127A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хостинга </w:t>
      </w:r>
      <w:r w:rsidR="00F22BAB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Исполнителем</w:t>
      </w:r>
      <w:r w:rsidR="0017127A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Клие</w:t>
      </w:r>
      <w:r w:rsidR="009A116A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нтом на основании учета Клиентов, осуществляемого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Партнера </w:t>
      </w:r>
      <w:r w:rsidR="00602522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 панели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602522"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срока действия Партнерского Договора между Исполнителем и Партнером.</w:t>
      </w:r>
    </w:p>
    <w:p w:rsidR="00B660D5" w:rsidRPr="00B95A50" w:rsidRDefault="00F22BAB" w:rsidP="00B660D5">
      <w:pPr>
        <w:numPr>
          <w:ilvl w:val="1"/>
          <w:numId w:val="8"/>
        </w:numPr>
        <w:tabs>
          <w:tab w:val="clear" w:pos="1440"/>
          <w:tab w:val="left" w:pos="426"/>
          <w:tab w:val="num" w:pos="1701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вознаграждение Партнеру</w:t>
      </w:r>
      <w:r w:rsidR="000D7182" w:rsidRPr="00B6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безналичного перечисления денежных средств</w:t>
      </w:r>
      <w:r w:rsidR="001D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Партнера по реквизитам, указанным в 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п.9 настоящего Договора</w:t>
      </w:r>
      <w:r w:rsidR="001D6C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определяемом согласно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E97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 настоящего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="0007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</w:t>
      </w:r>
      <w:r w:rsidR="00061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384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 каждого месяца, следующего за расчетным.</w:t>
      </w:r>
    </w:p>
    <w:p w:rsidR="00B660D5" w:rsidRPr="00E84F47" w:rsidRDefault="00342C13" w:rsidP="00B660D5">
      <w:pPr>
        <w:numPr>
          <w:ilvl w:val="1"/>
          <w:numId w:val="8"/>
        </w:numPr>
        <w:tabs>
          <w:tab w:val="clear" w:pos="1440"/>
          <w:tab w:val="left" w:pos="426"/>
          <w:tab w:val="num" w:pos="1701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месяца Партнеру</w:t>
      </w:r>
      <w:r w:rsidR="000D7182" w:rsidRPr="00B6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произведено 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о</w:t>
      </w:r>
      <w:r w:rsidR="009A116A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выплаты вознаграждения.</w:t>
      </w:r>
    </w:p>
    <w:p w:rsidR="006A6E97" w:rsidRPr="00E84F47" w:rsidRDefault="009A116A" w:rsidP="00B660D5">
      <w:pPr>
        <w:numPr>
          <w:ilvl w:val="1"/>
          <w:numId w:val="8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FD2E80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</w:t>
      </w:r>
      <w:r w:rsidR="00F22BAB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третьих лиц</w:t>
      </w:r>
      <w:r w:rsidR="00F22BAB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Партнера</w:t>
      </w:r>
      <w:r w:rsidR="00B95A50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</w:t>
      </w:r>
      <w:r w:rsidR="00FD2E80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070" w:rsidRPr="009A116A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6E97" w:rsidRPr="006A6E97" w:rsidRDefault="006A6E97" w:rsidP="000C3B6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ОСОБЫЕ УСЛОВИЯ </w:t>
      </w:r>
    </w:p>
    <w:p w:rsidR="00387057" w:rsidRPr="00D810BC" w:rsidRDefault="00F22BAB" w:rsidP="000C3B6D">
      <w:pPr>
        <w:numPr>
          <w:ilvl w:val="1"/>
          <w:numId w:val="9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</w:t>
      </w:r>
      <w:r w:rsidR="008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D196D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 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договор</w:t>
      </w:r>
      <w:r w:rsidR="000F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5D196D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хостинга 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Партнера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</w:t>
      </w:r>
      <w:r w:rsidR="0038705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тветственно, </w:t>
      </w:r>
      <w:r w:rsidR="005D196D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 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</w:t>
      </w:r>
      <w:r w:rsidR="0038705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 </w:t>
      </w:r>
      <w:r w:rsidR="005D196D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38705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Клиента в случае, если 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производит 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на сайте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реферальной 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ссылке,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Клиенту Партнером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</w:t>
      </w:r>
      <w:r w:rsid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реферальная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является </w:t>
      </w:r>
      <w:r w:rsidR="000D7182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ндивидуальной для каждого Партнера</w:t>
      </w:r>
      <w:r w:rsidR="000D7182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свою </w:t>
      </w:r>
      <w:r w:rsid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реферальную 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ссылку в </w:t>
      </w:r>
      <w:r w:rsidR="0038705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кабинете Биллинговой </w:t>
      </w:r>
      <w:r w:rsidR="000D7182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</w:t>
      </w:r>
      <w:r w:rsidR="005D196D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 Для настоящего Д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реферальная 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</w:t>
      </w:r>
      <w:r w:rsidR="000C3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выглядит следующим образом:</w:t>
      </w:r>
      <w:r w:rsidR="00D8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D810BC" w:rsidRPr="00D810B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https://www.saviro.ru/?from=X</w:t>
        </w:r>
      </w:hyperlink>
    </w:p>
    <w:p w:rsidR="006A6E97" w:rsidRPr="006A6E97" w:rsidRDefault="005D196D" w:rsidP="000C3B6D">
      <w:pPr>
        <w:numPr>
          <w:ilvl w:val="1"/>
          <w:numId w:val="9"/>
        </w:numPr>
        <w:tabs>
          <w:tab w:val="clear" w:pos="1440"/>
          <w:tab w:val="left" w:pos="426"/>
          <w:tab w:val="num" w:pos="1701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Клиенты </w:t>
      </w:r>
      <w:r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</w:t>
      </w:r>
      <w:r w:rsidR="006A6E97" w:rsidRPr="00E84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 w:rsid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привлеченные к заключению договоров на оказание услуг хостинга с Исполнителем посредством Партнера,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</w:t>
      </w:r>
      <w:r w:rsidR="00F22B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переданы другому Партнеру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никаким образом. </w:t>
      </w:r>
    </w:p>
    <w:p w:rsidR="006A6E97" w:rsidRPr="00EE2186" w:rsidRDefault="006A6E97" w:rsidP="000C3B6D">
      <w:pPr>
        <w:numPr>
          <w:ilvl w:val="1"/>
          <w:numId w:val="9"/>
        </w:numPr>
        <w:tabs>
          <w:tab w:val="clear" w:pos="1440"/>
          <w:tab w:val="left" w:pos="426"/>
          <w:tab w:val="num" w:pos="170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="00F22BA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D196D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выплачивать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</w:t>
      </w:r>
      <w:r w:rsidR="001B455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bookmarkStart w:id="0" w:name="_GoBack"/>
      <w:bookmarkEnd w:id="0"/>
      <w:r w:rsidR="001B455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ртнеру в рамках настоящего Договора</w:t>
      </w:r>
      <w:r w:rsidR="005D196D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</w:t>
      </w:r>
      <w:r w:rsidR="001B455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6D56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 отношении впервые</w:t>
      </w:r>
      <w:r w:rsidR="001B455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привлеченных для заключения договоров на оказание услуг хостинга </w:t>
      </w:r>
      <w:r w:rsidR="00C46D56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Клиентов.</w:t>
      </w:r>
    </w:p>
    <w:p w:rsidR="00451210" w:rsidRPr="00C46D56" w:rsidRDefault="00451210" w:rsidP="00451210">
      <w:pPr>
        <w:numPr>
          <w:ilvl w:val="1"/>
          <w:numId w:val="9"/>
        </w:numPr>
        <w:tabs>
          <w:tab w:val="clear" w:pos="1440"/>
          <w:tab w:val="num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56"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 w:rsidRPr="00EE21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F0E2E">
        <w:rPr>
          <w:rFonts w:ascii="Times New Roman" w:hAnsi="Times New Roman" w:cs="Times New Roman"/>
          <w:sz w:val="24"/>
          <w:szCs w:val="24"/>
        </w:rPr>
        <w:t>на оказание</w:t>
      </w:r>
      <w:r w:rsidR="00C46D56" w:rsidRPr="00EE2186">
        <w:rPr>
          <w:rFonts w:ascii="Times New Roman" w:hAnsi="Times New Roman" w:cs="Times New Roman"/>
          <w:sz w:val="24"/>
          <w:szCs w:val="24"/>
        </w:rPr>
        <w:t xml:space="preserve"> услуг хостинга </w:t>
      </w:r>
      <w:r w:rsidRPr="00C46D56">
        <w:rPr>
          <w:rFonts w:ascii="Times New Roman" w:hAnsi="Times New Roman" w:cs="Times New Roman"/>
          <w:sz w:val="24"/>
          <w:szCs w:val="24"/>
        </w:rPr>
        <w:t>между Испо</w:t>
      </w:r>
      <w:r w:rsidR="00C46D56">
        <w:rPr>
          <w:rFonts w:ascii="Times New Roman" w:hAnsi="Times New Roman" w:cs="Times New Roman"/>
          <w:sz w:val="24"/>
          <w:szCs w:val="24"/>
        </w:rPr>
        <w:t>лнителем и Клиентом, привлеченным Партнером по настоящему Д</w:t>
      </w:r>
      <w:r w:rsidRPr="00C46D56">
        <w:rPr>
          <w:rFonts w:ascii="Times New Roman" w:hAnsi="Times New Roman" w:cs="Times New Roman"/>
          <w:sz w:val="24"/>
          <w:szCs w:val="24"/>
        </w:rPr>
        <w:t>оговору, с требованием Клиента о возврате неиспользованных денежных средств, Исполнитель удерживает с Партнера сумму в размере 40% от возвращаемой Клиенту суммы.</w:t>
      </w:r>
    </w:p>
    <w:p w:rsidR="008B2089" w:rsidRDefault="00C46D56" w:rsidP="0055491A">
      <w:pPr>
        <w:numPr>
          <w:ilvl w:val="1"/>
          <w:numId w:val="9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исполнения обязательств в рамках настоящего Договора, Партнер обязуется 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заключения Договора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пользу</w:t>
      </w:r>
      <w:r w:rsidR="0045121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45121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разовый с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траховой взнос в размере 5000 (пяти тысяч) рублей 00 копеек. 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страхового</w:t>
      </w:r>
      <w:r w:rsidR="00E248FC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является необходимой мерой с целью возможности, в случае необходимости, </w:t>
      </w:r>
      <w:r w:rsidR="00E248FC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ержания Исполнителем с Партнера</w:t>
      </w:r>
      <w:r w:rsidR="00E248FC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181B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</w:t>
      </w:r>
      <w:r w:rsidR="00F40C2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="004B7ABF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4D93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страхового взноса проценты в соответствии со ст. 395, ст. 317.1. ГК РФ не начисляются. </w:t>
      </w:r>
    </w:p>
    <w:p w:rsidR="008B2089" w:rsidRDefault="008B2089" w:rsidP="0055491A">
      <w:pPr>
        <w:numPr>
          <w:ilvl w:val="1"/>
          <w:numId w:val="9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суммы страхового взноса, размер которого определен в п. 4.5. настоящего Договора, в результате удержания Исполнителем с Партнера денежных средств согласно п. 4.4. данного Договора, Партнер обязуется в срок не позднее 3 (трех) рабочих дней восстановить сумму страхового взноса </w:t>
      </w:r>
      <w:proofErr w:type="gramStart"/>
      <w:r w:rsidRPr="00D1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размера</w:t>
      </w:r>
      <w:proofErr w:type="gramEnd"/>
      <w:r w:rsidRPr="00D14F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определенного на момент заключения Договора. Невыполнение требования о восстановлении суммы страхового взноса до установленного размера, предоставляет Исполнителю право на односторонний отказ                                от исполнения Договора на основании п. 7.2.2.</w:t>
      </w:r>
    </w:p>
    <w:p w:rsidR="00451210" w:rsidRPr="00EE2186" w:rsidRDefault="004B7ABF" w:rsidP="0055491A">
      <w:pPr>
        <w:numPr>
          <w:ilvl w:val="1"/>
          <w:numId w:val="9"/>
        </w:numPr>
        <w:tabs>
          <w:tab w:val="clear" w:pos="1440"/>
          <w:tab w:val="left" w:pos="426"/>
          <w:tab w:val="num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</w:t>
      </w:r>
      <w:r w:rsidR="00E248FC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страхового взноса возвращается Партнеру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безналичной форме путем </w:t>
      </w:r>
      <w:r w:rsidR="00E248FC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="00E248FC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Партнера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п.9 настоящего Договора,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5 (пяти) рабочих дней с даты расторжения Договора.</w:t>
      </w:r>
    </w:p>
    <w:p w:rsidR="003A6070" w:rsidRPr="00F40C20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darkCyan"/>
          <w:lang w:eastAsia="ru-RU"/>
        </w:rPr>
      </w:pPr>
    </w:p>
    <w:p w:rsidR="006A6E97" w:rsidRPr="006A6E97" w:rsidRDefault="006A6E97" w:rsidP="003A607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СТОРОН </w:t>
      </w:r>
    </w:p>
    <w:p w:rsidR="006A6E97" w:rsidRDefault="006A6E97" w:rsidP="003A6070">
      <w:pPr>
        <w:numPr>
          <w:ilvl w:val="1"/>
          <w:numId w:val="10"/>
        </w:numPr>
        <w:tabs>
          <w:tab w:val="clear" w:pos="1440"/>
          <w:tab w:val="left" w:pos="426"/>
          <w:tab w:val="num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</w:t>
      </w:r>
      <w:r w:rsidR="005D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по настоящему Договору </w:t>
      </w:r>
      <w:r w:rsidR="005D196D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несут ответственность в соответствии с действующим законодательством</w:t>
      </w:r>
      <w:r w:rsidR="003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E97" w:rsidRDefault="005D196D" w:rsidP="003A6070">
      <w:pPr>
        <w:numPr>
          <w:ilvl w:val="1"/>
          <w:numId w:val="10"/>
        </w:numPr>
        <w:tabs>
          <w:tab w:val="clear" w:pos="1440"/>
          <w:tab w:val="left" w:pos="426"/>
          <w:tab w:val="num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настоящего Договора не несет ответственности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тороной за невыполнение обязательств, обусловленное обстоятельствами, во</w:t>
      </w:r>
      <w:r w:rsidR="003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зникшими помимо воли и желания С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5875D4" w:rsidRPr="005875D4" w:rsidRDefault="005875D4" w:rsidP="003A6070">
      <w:pPr>
        <w:numPr>
          <w:ilvl w:val="1"/>
          <w:numId w:val="10"/>
        </w:numPr>
        <w:tabs>
          <w:tab w:val="clear" w:pos="1440"/>
          <w:tab w:val="left" w:pos="426"/>
          <w:tab w:val="num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неполученную прибыль и упущенную выгоду, а также за любые косвенные убытки, понесенные </w:t>
      </w:r>
      <w:r>
        <w:rPr>
          <w:rFonts w:ascii="Times New Roman" w:hAnsi="Times New Roman" w:cs="Times New Roman"/>
          <w:sz w:val="24"/>
          <w:szCs w:val="24"/>
        </w:rPr>
        <w:t>Партнером</w:t>
      </w:r>
      <w:r w:rsidRPr="005875D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60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B4D93" w:rsidRPr="00EE2186" w:rsidRDefault="00DB4D93" w:rsidP="003A6070">
      <w:pPr>
        <w:numPr>
          <w:ilvl w:val="1"/>
          <w:numId w:val="10"/>
        </w:numPr>
        <w:tabs>
          <w:tab w:val="clear" w:pos="1440"/>
          <w:tab w:val="left" w:pos="426"/>
          <w:tab w:val="num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взаимоотношениям Сторон в рамках настоящего Договора нормы ст. 317.1 ГК РФ не применяются.</w:t>
      </w:r>
    </w:p>
    <w:p w:rsidR="003A6070" w:rsidRPr="006A6E97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97" w:rsidRPr="006A6E97" w:rsidRDefault="006A6E97" w:rsidP="000C3B6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:rsidR="006A6E97" w:rsidRPr="006A6E97" w:rsidRDefault="003A6070" w:rsidP="000C3B6D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</w:t>
      </w:r>
      <w:r w:rsidR="006A6E97" w:rsidRPr="006A6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торонами, возникающие в период действия настоящего Договора, разрешаю</w:t>
      </w:r>
      <w:r w:rsidR="005929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</w:t>
      </w:r>
      <w:r w:rsidR="003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путем переговоров, </w:t>
      </w:r>
      <w:r w:rsidR="00387057" w:rsidRPr="00387057">
        <w:rPr>
          <w:rFonts w:ascii="Times New Roman" w:hAnsi="Times New Roman" w:cs="Times New Roman"/>
          <w:sz w:val="24"/>
          <w:szCs w:val="24"/>
        </w:rPr>
        <w:t>а</w:t>
      </w:r>
      <w:r w:rsidR="00387057" w:rsidRPr="003870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z w:val="24"/>
          <w:szCs w:val="24"/>
        </w:rPr>
        <w:t>в</w:t>
      </w:r>
      <w:r w:rsidR="00387057" w:rsidRPr="0038705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="00387057" w:rsidRPr="003870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z w:val="24"/>
          <w:szCs w:val="24"/>
        </w:rPr>
        <w:t>не</w:t>
      </w:r>
      <w:r w:rsidR="00387057" w:rsidRPr="003870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="00387057" w:rsidRPr="0038705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>согласия</w:t>
      </w:r>
      <w:r w:rsidR="00387057" w:rsidRPr="003870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z w:val="24"/>
          <w:szCs w:val="24"/>
        </w:rPr>
        <w:t>-</w:t>
      </w:r>
      <w:r w:rsidR="00387057" w:rsidRPr="003870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z w:val="24"/>
          <w:szCs w:val="24"/>
        </w:rPr>
        <w:t>в</w:t>
      </w:r>
      <w:r w:rsidR="00387057" w:rsidRPr="0038705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</w:t>
      </w:r>
      <w:r w:rsidR="00387057" w:rsidRPr="00387057">
        <w:rPr>
          <w:rFonts w:ascii="Times New Roman" w:hAnsi="Times New Roman" w:cs="Times New Roman"/>
          <w:sz w:val="24"/>
          <w:szCs w:val="24"/>
        </w:rPr>
        <w:t xml:space="preserve">с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>действующим законодательством</w:t>
      </w:r>
      <w:r w:rsidR="00387057" w:rsidRPr="00387057">
        <w:rPr>
          <w:rFonts w:ascii="Times New Roman" w:hAnsi="Times New Roman" w:cs="Times New Roman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="00387057" w:rsidRPr="00387057">
        <w:rPr>
          <w:rFonts w:ascii="Times New Roman" w:hAnsi="Times New Roman" w:cs="Times New Roman"/>
          <w:sz w:val="24"/>
          <w:szCs w:val="24"/>
        </w:rPr>
        <w:t xml:space="preserve"> </w:t>
      </w:r>
      <w:r w:rsidR="00387057" w:rsidRPr="00387057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</w:p>
    <w:p w:rsidR="006A6E97" w:rsidRPr="003A6070" w:rsidRDefault="00387057" w:rsidP="003A6070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5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3870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3870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неурегулированных</w:t>
      </w:r>
      <w:r w:rsidRPr="003870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разногласий</w:t>
      </w:r>
      <w:r w:rsidRPr="003870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F0E2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торон</w:t>
      </w:r>
      <w:r w:rsidRPr="003870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споры</w:t>
      </w:r>
      <w:r w:rsidRPr="003870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разрешаются</w:t>
      </w:r>
      <w:r w:rsidRPr="003870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z w:val="24"/>
          <w:szCs w:val="24"/>
        </w:rPr>
        <w:t>в</w:t>
      </w:r>
      <w:r w:rsidRPr="003870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суде</w:t>
      </w:r>
      <w:r w:rsidRPr="003870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z w:val="24"/>
          <w:szCs w:val="24"/>
        </w:rPr>
        <w:t>по</w:t>
      </w:r>
      <w:r w:rsidRPr="003870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z w:val="24"/>
          <w:szCs w:val="24"/>
        </w:rPr>
        <w:t>месту</w:t>
      </w:r>
      <w:r w:rsidRPr="003870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нахождения</w:t>
      </w:r>
      <w:r w:rsidRPr="0038705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201B35">
        <w:rPr>
          <w:rFonts w:ascii="Times New Roman" w:hAnsi="Times New Roman" w:cs="Times New Roman"/>
          <w:spacing w:val="-1"/>
          <w:sz w:val="24"/>
          <w:szCs w:val="24"/>
        </w:rPr>
        <w:t>Исполнителя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z w:val="24"/>
          <w:szCs w:val="24"/>
        </w:rPr>
        <w:t>в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Pr="00387057">
        <w:rPr>
          <w:rFonts w:ascii="Times New Roman" w:hAnsi="Times New Roman" w:cs="Times New Roman"/>
          <w:sz w:val="24"/>
          <w:szCs w:val="24"/>
        </w:rPr>
        <w:t xml:space="preserve">с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действующим законодательством</w:t>
      </w:r>
      <w:r w:rsidRPr="00387057">
        <w:rPr>
          <w:rFonts w:ascii="Times New Roman" w:hAnsi="Times New Roman" w:cs="Times New Roman"/>
          <w:sz w:val="24"/>
          <w:szCs w:val="24"/>
        </w:rPr>
        <w:t xml:space="preserve"> </w:t>
      </w:r>
      <w:r w:rsidRPr="0038705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3870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196D">
        <w:rPr>
          <w:rFonts w:ascii="Times New Roman" w:hAnsi="Times New Roman" w:cs="Times New Roman"/>
          <w:spacing w:val="-1"/>
          <w:sz w:val="24"/>
          <w:szCs w:val="24"/>
        </w:rPr>
        <w:t xml:space="preserve">Федерации, </w:t>
      </w:r>
      <w:r w:rsidR="005D196D" w:rsidRPr="00EE2186">
        <w:rPr>
          <w:rFonts w:ascii="Times New Roman" w:hAnsi="Times New Roman" w:cs="Times New Roman"/>
          <w:spacing w:val="-1"/>
          <w:sz w:val="24"/>
          <w:szCs w:val="24"/>
        </w:rPr>
        <w:t>с соблюдением процедуры досудебного урегулирования спора</w:t>
      </w:r>
      <w:r w:rsidR="003A6070" w:rsidRPr="00EE2186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563951" w:rsidRPr="00EE2186">
        <w:rPr>
          <w:rFonts w:ascii="Times New Roman" w:hAnsi="Times New Roman" w:cs="Times New Roman"/>
          <w:spacing w:val="-1"/>
          <w:sz w:val="24"/>
          <w:szCs w:val="24"/>
        </w:rPr>
        <w:t xml:space="preserve">письменном </w:t>
      </w:r>
      <w:r w:rsidR="003A6070" w:rsidRPr="00EE2186">
        <w:rPr>
          <w:rFonts w:ascii="Times New Roman" w:hAnsi="Times New Roman" w:cs="Times New Roman"/>
          <w:spacing w:val="-1"/>
          <w:sz w:val="24"/>
          <w:szCs w:val="24"/>
        </w:rPr>
        <w:t>претензионном порядке. Срок рассмотрения претензии – 5 (пять) рабочих дней.</w:t>
      </w:r>
    </w:p>
    <w:p w:rsidR="003A6070" w:rsidRPr="006A6E97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8" w:rsidRPr="006A6E97" w:rsidRDefault="006A6E97" w:rsidP="003A607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ДОГОВОРА </w:t>
      </w:r>
    </w:p>
    <w:p w:rsidR="00807A68" w:rsidRPr="00EE2186" w:rsidRDefault="00807A68" w:rsidP="00584847">
      <w:pPr>
        <w:numPr>
          <w:ilvl w:val="1"/>
          <w:numId w:val="12"/>
        </w:numPr>
        <w:tabs>
          <w:tab w:val="clear" w:pos="1440"/>
          <w:tab w:val="left" w:pos="426"/>
          <w:tab w:val="num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календарного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вступления в силу. Если за 30 (тридцать) календарных дней до даты окончания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3A6070" w:rsidRPr="001255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E2186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настоящего Договора ни одна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86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 не направила другой Стороне письменного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86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расторжении Договора (по электронной почте или в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кабинете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Биллинговой </w:t>
      </w:r>
      <w:r w:rsidR="000D7182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настоящий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86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автоматически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пролонгируется на каждый последующий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 тех же условиях, если Стороны не договорятся об ином. Количество пролонгаций </w:t>
      </w:r>
      <w:r w:rsidR="0012554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ограничено.</w:t>
      </w:r>
    </w:p>
    <w:p w:rsidR="00807A68" w:rsidRPr="00807A68" w:rsidRDefault="00807A68" w:rsidP="00F363BB">
      <w:pPr>
        <w:numPr>
          <w:ilvl w:val="1"/>
          <w:numId w:val="12"/>
        </w:numPr>
        <w:tabs>
          <w:tab w:val="clear" w:pos="1440"/>
          <w:tab w:val="left" w:pos="426"/>
          <w:tab w:val="num" w:pos="156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</w:t>
      </w:r>
      <w:r w:rsidRPr="008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расторгнут: </w:t>
      </w:r>
    </w:p>
    <w:p w:rsidR="00807A68" w:rsidRPr="00EE2186" w:rsidRDefault="00563951" w:rsidP="00F363BB">
      <w:pPr>
        <w:numPr>
          <w:ilvl w:val="1"/>
          <w:numId w:val="13"/>
        </w:numPr>
        <w:tabs>
          <w:tab w:val="clear" w:pos="1440"/>
          <w:tab w:val="left" w:pos="567"/>
          <w:tab w:val="left" w:pos="709"/>
          <w:tab w:val="left" w:pos="113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письменному 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A68" w:rsidRPr="00EE2186" w:rsidRDefault="00563951" w:rsidP="00F363BB">
      <w:pPr>
        <w:numPr>
          <w:ilvl w:val="1"/>
          <w:numId w:val="13"/>
        </w:numPr>
        <w:tabs>
          <w:tab w:val="clear" w:pos="1440"/>
          <w:tab w:val="left" w:pos="567"/>
          <w:tab w:val="left" w:pos="709"/>
          <w:tab w:val="left" w:pos="113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B6D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</w:t>
      </w:r>
      <w:r w:rsidR="00201B35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немедленно с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получения уведомления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86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(на электронную почту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личном кабинете 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</w:t>
      </w:r>
      <w:proofErr w:type="spellStart"/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Билинговой</w:t>
      </w:r>
      <w:proofErr w:type="spellEnd"/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все начисления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произведенные </w:t>
      </w:r>
      <w:r w:rsidR="00201B35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Партнеру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выплаченные до момента обнаружения нарушений условий Договора, аннулируются;</w:t>
      </w:r>
    </w:p>
    <w:p w:rsidR="00807A68" w:rsidRPr="00EE2186" w:rsidRDefault="00563951" w:rsidP="00F363BB">
      <w:pPr>
        <w:numPr>
          <w:ilvl w:val="1"/>
          <w:numId w:val="13"/>
        </w:numPr>
        <w:tabs>
          <w:tab w:val="clear" w:pos="1440"/>
          <w:tab w:val="left" w:pos="567"/>
          <w:tab w:val="left" w:pos="709"/>
          <w:tab w:val="left" w:pos="113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из Сторон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внесудебном порядке </w:t>
      </w:r>
      <w:r w:rsidR="003A6070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наличия письменного предупреждения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электронной почте или в личном кабинете 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 панели</w:t>
      </w:r>
      <w:r w:rsidR="0015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7A68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373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Стороны</w:t>
      </w:r>
      <w:r w:rsidR="00F363B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(пятнадцать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</w:t>
      </w:r>
      <w:r w:rsidR="0037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расторжения настоящего Договора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3951" w:rsidRDefault="00563951" w:rsidP="00F363BB">
      <w:pPr>
        <w:numPr>
          <w:ilvl w:val="1"/>
          <w:numId w:val="13"/>
        </w:numPr>
        <w:tabs>
          <w:tab w:val="clear" w:pos="1440"/>
          <w:tab w:val="left" w:pos="567"/>
          <w:tab w:val="left" w:pos="709"/>
          <w:tab w:val="left" w:pos="113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принудительном судебном порядке</w:t>
      </w:r>
      <w:r w:rsidR="0012554B" w:rsidRPr="00EE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5C48F6" w:rsidRPr="00EE2186" w:rsidRDefault="005C48F6" w:rsidP="005C48F6">
      <w:pPr>
        <w:numPr>
          <w:ilvl w:val="1"/>
          <w:numId w:val="13"/>
        </w:numPr>
        <w:tabs>
          <w:tab w:val="clear" w:pos="1440"/>
          <w:tab w:val="left" w:pos="567"/>
          <w:tab w:val="left" w:pos="709"/>
          <w:tab w:val="num" w:pos="113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рекращение срока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5C4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по любому основанию не освобождает Стороны от ответственности за нарушения условий Договора, возникшие в течение срока его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951" w:rsidRDefault="00563951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070" w:rsidRPr="003A6070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A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3A6070" w:rsidRPr="003A6070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60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 и подписаны уполномоченными представителями Сторон.</w:t>
      </w:r>
    </w:p>
    <w:p w:rsidR="003A6070" w:rsidRDefault="003A6070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обязаны </w:t>
      </w:r>
      <w:r w:rsidRPr="003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уведомлять друг друга (включая уведомления по электронной почте) обо всех изменениях адресов и других реквизитов,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</w:t>
      </w:r>
      <w:r w:rsidR="00373DA9">
        <w:rPr>
          <w:rFonts w:ascii="Times New Roman" w:eastAsia="Times New Roman" w:hAnsi="Times New Roman" w:cs="Times New Roman"/>
          <w:sz w:val="24"/>
          <w:szCs w:val="24"/>
          <w:lang w:eastAsia="ru-RU"/>
        </w:rPr>
        <w:t>п.9 настоящего Договора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5 дней до даты вступления</w:t>
      </w:r>
      <w:r w:rsidR="001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 w:rsidR="004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изменений. </w:t>
      </w:r>
    </w:p>
    <w:p w:rsidR="0012554B" w:rsidRPr="00EE2186" w:rsidRDefault="00181BBF" w:rsidP="0012554B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186">
        <w:rPr>
          <w:rFonts w:ascii="Times New Roman" w:hAnsi="Times New Roman" w:cs="Times New Roman"/>
          <w:sz w:val="24"/>
          <w:szCs w:val="24"/>
        </w:rPr>
        <w:t xml:space="preserve">8.3. </w:t>
      </w:r>
      <w:r w:rsidR="0012554B" w:rsidRPr="00EE2186">
        <w:rPr>
          <w:rFonts w:ascii="Times New Roman" w:hAnsi="Times New Roman" w:cs="Times New Roman"/>
          <w:sz w:val="24"/>
          <w:szCs w:val="24"/>
        </w:rPr>
        <w:t xml:space="preserve">С целью ускорения и упрощения документооборота Стороны договорились о признании юридической силы сообщений и документов, направленных по средствам электронной </w:t>
      </w:r>
      <w:proofErr w:type="gramStart"/>
      <w:r w:rsidR="0012554B" w:rsidRPr="00EE2186">
        <w:rPr>
          <w:rFonts w:ascii="Times New Roman" w:hAnsi="Times New Roman" w:cs="Times New Roman"/>
          <w:sz w:val="24"/>
          <w:szCs w:val="24"/>
        </w:rPr>
        <w:t xml:space="preserve">связи, </w:t>
      </w:r>
      <w:r w:rsidR="001B455B" w:rsidRPr="00EE21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B455B" w:rsidRPr="00EE21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554B" w:rsidRPr="00EE2186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по электронной почте и </w:t>
      </w:r>
      <w:r w:rsidRPr="00EE2186">
        <w:rPr>
          <w:rFonts w:ascii="Times New Roman" w:hAnsi="Times New Roman" w:cs="Times New Roman"/>
          <w:sz w:val="24"/>
          <w:szCs w:val="24"/>
        </w:rPr>
        <w:t>в личном кабинете Биллинговой панели.</w:t>
      </w:r>
      <w:r w:rsidR="00C46D56" w:rsidRPr="00EE2186">
        <w:rPr>
          <w:rFonts w:ascii="Times New Roman" w:hAnsi="Times New Roman" w:cs="Times New Roman"/>
          <w:sz w:val="24"/>
          <w:szCs w:val="24"/>
        </w:rPr>
        <w:t xml:space="preserve"> </w:t>
      </w:r>
      <w:r w:rsidR="0012554B" w:rsidRPr="00EE2186">
        <w:rPr>
          <w:rFonts w:ascii="Times New Roman" w:hAnsi="Times New Roman" w:cs="Times New Roman"/>
          <w:sz w:val="24"/>
          <w:szCs w:val="24"/>
        </w:rPr>
        <w:t xml:space="preserve">Все документы, отправленные Сторонами друг другу </w:t>
      </w:r>
      <w:r w:rsidR="001B455B" w:rsidRPr="00EE2186">
        <w:rPr>
          <w:rFonts w:ascii="Times New Roman" w:hAnsi="Times New Roman" w:cs="Times New Roman"/>
          <w:sz w:val="24"/>
          <w:szCs w:val="24"/>
        </w:rPr>
        <w:t>указанными способами</w:t>
      </w:r>
      <w:r w:rsidR="0012554B" w:rsidRPr="00EE2186">
        <w:rPr>
          <w:rFonts w:ascii="Times New Roman" w:hAnsi="Times New Roman" w:cs="Times New Roman"/>
          <w:sz w:val="24"/>
          <w:szCs w:val="24"/>
        </w:rPr>
        <w:t>, признаются Сторонами официальной перепиской в рамках данного Договора</w:t>
      </w:r>
      <w:r w:rsidR="001B455B" w:rsidRPr="00EE2186">
        <w:rPr>
          <w:rFonts w:ascii="Times New Roman" w:hAnsi="Times New Roman" w:cs="Times New Roman"/>
          <w:sz w:val="24"/>
          <w:szCs w:val="24"/>
        </w:rPr>
        <w:t>.</w:t>
      </w:r>
    </w:p>
    <w:p w:rsidR="003A6070" w:rsidRPr="003A6070" w:rsidRDefault="0012554B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3A6070" w:rsidRPr="003A6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3A6070" w:rsidRDefault="0012554B" w:rsidP="003A60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3A6070" w:rsidRPr="003A6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и подписан в двух подлинных экземплярах по одному для каждой из Сторон, причем оба экземпляра имеют одинаковую юридическую силу.</w:t>
      </w:r>
    </w:p>
    <w:p w:rsidR="00BE1FD7" w:rsidRPr="005C3228" w:rsidRDefault="006A6E97" w:rsidP="005C3228">
      <w:pPr>
        <w:pStyle w:val="a9"/>
        <w:numPr>
          <w:ilvl w:val="0"/>
          <w:numId w:val="15"/>
        </w:numPr>
        <w:tabs>
          <w:tab w:val="left" w:pos="14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 И РЕКВИЗИТЫ СТОРОН </w:t>
      </w: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0"/>
      </w:tblGrid>
      <w:tr w:rsidR="00201B35" w:rsidTr="00201B35">
        <w:tc>
          <w:tcPr>
            <w:tcW w:w="5245" w:type="dxa"/>
          </w:tcPr>
          <w:p w:rsidR="00201B35" w:rsidRDefault="00201B35" w:rsidP="00383F34">
            <w:pPr>
              <w:tabs>
                <w:tab w:val="left" w:pos="284"/>
              </w:tabs>
              <w:spacing w:before="100" w:beforeAutospacing="1"/>
              <w:ind w:left="-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01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4530" w:type="dxa"/>
          </w:tcPr>
          <w:p w:rsidR="00201B35" w:rsidRDefault="00201B35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01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АРТНЕР</w:t>
            </w:r>
          </w:p>
        </w:tc>
      </w:tr>
      <w:tr w:rsidR="00383F34" w:rsidTr="00201B35">
        <w:tc>
          <w:tcPr>
            <w:tcW w:w="5245" w:type="dxa"/>
          </w:tcPr>
          <w:p w:rsidR="00383F34" w:rsidRDefault="00383F34" w:rsidP="00383F34">
            <w:pPr>
              <w:tabs>
                <w:tab w:val="left" w:pos="284"/>
              </w:tabs>
              <w:spacing w:before="100" w:beforeAutospacing="1"/>
              <w:ind w:left="-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383F34" w:rsidRDefault="00383F34" w:rsidP="003A6070">
            <w:pPr>
              <w:tabs>
                <w:tab w:val="left" w:pos="284"/>
              </w:tabs>
              <w:spacing w:after="100" w:afterAutospacing="1"/>
              <w:ind w:left="-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Зубко Леонид Вячеславович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Pr="00383F34" w:rsidRDefault="00383F34" w:rsidP="00383F34">
            <w:pPr>
              <w:autoSpaceDE w:val="0"/>
              <w:autoSpaceDN w:val="0"/>
              <w:adjustRightInd w:val="0"/>
              <w:ind w:left="-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5C3228" w:rsidRDefault="005C3228" w:rsidP="005C3228">
            <w:pPr>
              <w:autoSpaceDE w:val="0"/>
              <w:autoSpaceDN w:val="0"/>
              <w:adjustRightInd w:val="0"/>
              <w:ind w:lef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654079, РФ, Кемеровская обл.</w:t>
            </w:r>
            <w:r w:rsidR="00383F34" w:rsidRPr="00CC27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3228" w:rsidRDefault="00383F34" w:rsidP="005C3228">
            <w:pPr>
              <w:autoSpaceDE w:val="0"/>
              <w:autoSpaceDN w:val="0"/>
              <w:adjustRightInd w:val="0"/>
              <w:ind w:left="-103"/>
              <w:rPr>
                <w:rFonts w:ascii="Times New Roman" w:hAnsi="Times New Roman"/>
                <w:sz w:val="24"/>
                <w:szCs w:val="24"/>
              </w:rPr>
            </w:pPr>
            <w:r w:rsidRPr="00CC27E7">
              <w:rPr>
                <w:rFonts w:ascii="Times New Roman" w:hAnsi="Times New Roman"/>
                <w:sz w:val="24"/>
                <w:szCs w:val="24"/>
              </w:rPr>
              <w:t xml:space="preserve">г. Новокузнецк, улица Кирова 20А, </w:t>
            </w:r>
          </w:p>
          <w:p w:rsidR="00383F34" w:rsidRPr="00383F34" w:rsidRDefault="00383F34" w:rsidP="005C3228">
            <w:pPr>
              <w:autoSpaceDE w:val="0"/>
              <w:autoSpaceDN w:val="0"/>
              <w:adjustRightInd w:val="0"/>
              <w:ind w:left="-103"/>
              <w:rPr>
                <w:rFonts w:ascii="Times New Roman" w:hAnsi="Times New Roman"/>
                <w:sz w:val="24"/>
                <w:szCs w:val="24"/>
              </w:rPr>
            </w:pPr>
            <w:r w:rsidRPr="00CC27E7">
              <w:rPr>
                <w:rFonts w:ascii="Times New Roman" w:hAnsi="Times New Roman"/>
                <w:sz w:val="24"/>
                <w:szCs w:val="24"/>
              </w:rPr>
              <w:t>офис 210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Default="00383F34" w:rsidP="005C3228">
            <w:pPr>
              <w:tabs>
                <w:tab w:val="left" w:pos="284"/>
              </w:tabs>
              <w:spacing w:before="100" w:beforeAutospacing="1" w:after="100" w:afterAutospacing="1"/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7E7">
              <w:rPr>
                <w:rFonts w:ascii="Times New Roman" w:hAnsi="Times New Roman"/>
                <w:sz w:val="24"/>
                <w:szCs w:val="24"/>
              </w:rPr>
              <w:t>ОГРН 307421703100017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Default="00383F34" w:rsidP="005C3228">
            <w:pPr>
              <w:tabs>
                <w:tab w:val="left" w:pos="284"/>
              </w:tabs>
              <w:spacing w:before="100" w:beforeAutospacing="1" w:after="100" w:afterAutospacing="1"/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7E7">
              <w:rPr>
                <w:rFonts w:ascii="Times New Roman" w:hAnsi="Times New Roman"/>
                <w:sz w:val="24"/>
                <w:szCs w:val="24"/>
              </w:rPr>
              <w:t>ИНН 421712571899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Default="005C3228" w:rsidP="005C3228">
            <w:pPr>
              <w:tabs>
                <w:tab w:val="left" w:pos="181"/>
                <w:tab w:val="left" w:pos="323"/>
              </w:tabs>
              <w:spacing w:before="100" w:beforeAutospacing="1" w:after="100" w:afterAutospacing="1"/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383F34" w:rsidRPr="00CC27E7">
              <w:rPr>
                <w:rFonts w:ascii="Times New Roman" w:hAnsi="Times New Roman"/>
                <w:sz w:val="24"/>
                <w:szCs w:val="24"/>
              </w:rPr>
              <w:t>40802810626170101222 в Кемеровском Отделении № 8615 ПАО Сбербанка России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5C3228" w:rsidRDefault="005C3228" w:rsidP="005C3228">
            <w:pPr>
              <w:ind w:lef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  <w:r w:rsidR="00383F34" w:rsidRPr="00CC27E7">
              <w:rPr>
                <w:rFonts w:ascii="Times New Roman" w:hAnsi="Times New Roman"/>
                <w:sz w:val="24"/>
                <w:szCs w:val="24"/>
              </w:rPr>
              <w:t xml:space="preserve"> 301018102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00000000612 в Отделении </w:t>
            </w:r>
          </w:p>
          <w:p w:rsidR="00383F34" w:rsidRPr="00383F34" w:rsidRDefault="005C3228" w:rsidP="005C3228">
            <w:pPr>
              <w:ind w:lef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Pr="00383F34" w:rsidRDefault="00383F34" w:rsidP="005C3228">
            <w:pPr>
              <w:ind w:left="-103"/>
              <w:rPr>
                <w:rFonts w:ascii="Times New Roman" w:hAnsi="Times New Roman"/>
                <w:sz w:val="24"/>
                <w:szCs w:val="24"/>
              </w:rPr>
            </w:pPr>
            <w:r w:rsidRPr="00CC27E7">
              <w:rPr>
                <w:rFonts w:ascii="Times New Roman" w:hAnsi="Times New Roman"/>
                <w:sz w:val="24"/>
                <w:szCs w:val="24"/>
              </w:rPr>
              <w:t>БИК 043207612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Pr="00383F34" w:rsidRDefault="00383F34" w:rsidP="005C3228">
            <w:pPr>
              <w:ind w:left="-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8-800-775-08-17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F34" w:rsidTr="00201B35">
        <w:tc>
          <w:tcPr>
            <w:tcW w:w="5245" w:type="dxa"/>
          </w:tcPr>
          <w:p w:rsidR="00383F34" w:rsidRDefault="00744951" w:rsidP="005C3228">
            <w:pPr>
              <w:spacing w:before="8"/>
              <w:ind w:left="-10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C3228" w:rsidRPr="002F0067">
                <w:rPr>
                  <w:rStyle w:val="a4"/>
                  <w:rFonts w:ascii="Times New Roman" w:hAnsi="Times New Roman"/>
                  <w:sz w:val="24"/>
                  <w:szCs w:val="24"/>
                </w:rPr>
                <w:t>host@saviro.ru</w:t>
              </w:r>
            </w:hyperlink>
          </w:p>
          <w:p w:rsidR="005C3228" w:rsidRDefault="005C3228" w:rsidP="005C3228">
            <w:pPr>
              <w:spacing w:before="8"/>
              <w:ind w:left="-103"/>
              <w:rPr>
                <w:rFonts w:ascii="Times New Roman" w:hAnsi="Times New Roman"/>
                <w:sz w:val="24"/>
                <w:szCs w:val="24"/>
              </w:rPr>
            </w:pPr>
          </w:p>
          <w:p w:rsidR="005C3228" w:rsidRPr="00383F34" w:rsidRDefault="005C3228" w:rsidP="005C3228">
            <w:pPr>
              <w:spacing w:before="8"/>
              <w:ind w:left="-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 </w:t>
            </w:r>
            <w:r w:rsidRPr="005C3228">
              <w:rPr>
                <w:rFonts w:ascii="Times New Roman" w:hAnsi="Times New Roman"/>
                <w:b/>
                <w:sz w:val="24"/>
                <w:szCs w:val="24"/>
              </w:rPr>
              <w:t>Зубко Л.В.</w:t>
            </w:r>
          </w:p>
        </w:tc>
        <w:tc>
          <w:tcPr>
            <w:tcW w:w="4530" w:type="dxa"/>
          </w:tcPr>
          <w:p w:rsidR="00383F34" w:rsidRDefault="00383F34" w:rsidP="000D7182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182" w:rsidRPr="005C3228" w:rsidRDefault="005C3228" w:rsidP="005C3228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0D7182" w:rsidRPr="005C3228" w:rsidSect="007110CF">
      <w:headerReference w:type="default" r:id="rId12"/>
      <w:footerReference w:type="default" r:id="rId13"/>
      <w:pgSz w:w="11906" w:h="16838"/>
      <w:pgMar w:top="1701" w:right="850" w:bottom="1134" w:left="1276" w:header="708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51" w:rsidRDefault="00744951" w:rsidP="00916A8E">
      <w:pPr>
        <w:spacing w:after="0" w:line="240" w:lineRule="auto"/>
      </w:pPr>
      <w:r>
        <w:separator/>
      </w:r>
    </w:p>
  </w:endnote>
  <w:endnote w:type="continuationSeparator" w:id="0">
    <w:p w:rsidR="00744951" w:rsidRDefault="00744951" w:rsidP="0091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36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110CF" w:rsidRDefault="005875D4" w:rsidP="007110CF">
        <w:pPr>
          <w:pStyle w:val="a7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BC">
          <w:rPr>
            <w:noProof/>
          </w:rPr>
          <w:t>5</w:t>
        </w:r>
        <w:r>
          <w:fldChar w:fldCharType="end"/>
        </w:r>
      </w:p>
      <w:p w:rsidR="005875D4" w:rsidRPr="007110CF" w:rsidRDefault="007110CF" w:rsidP="007110CF">
        <w:pPr>
          <w:pStyle w:val="a7"/>
          <w:rPr>
            <w:rFonts w:ascii="Times New Roman" w:hAnsi="Times New Roman" w:cs="Times New Roman"/>
            <w:sz w:val="20"/>
            <w:szCs w:val="20"/>
          </w:rPr>
        </w:pPr>
        <w:r w:rsidRPr="007110CF">
          <w:rPr>
            <w:rFonts w:ascii="Times New Roman" w:hAnsi="Times New Roman" w:cs="Times New Roman"/>
            <w:sz w:val="20"/>
            <w:szCs w:val="20"/>
          </w:rPr>
          <w:t xml:space="preserve">Версия </w:t>
        </w:r>
        <w:r w:rsidR="00114682">
          <w:rPr>
            <w:rFonts w:ascii="Times New Roman" w:hAnsi="Times New Roman" w:cs="Times New Roman"/>
            <w:sz w:val="20"/>
            <w:szCs w:val="20"/>
          </w:rPr>
          <w:t>от 13</w:t>
        </w:r>
        <w:r>
          <w:rPr>
            <w:rFonts w:ascii="Times New Roman" w:hAnsi="Times New Roman" w:cs="Times New Roman"/>
            <w:sz w:val="20"/>
            <w:szCs w:val="20"/>
          </w:rPr>
          <w:t>.09.2016г.</w:t>
        </w:r>
      </w:p>
    </w:sdtContent>
  </w:sdt>
  <w:p w:rsidR="005875D4" w:rsidRPr="005875D4" w:rsidRDefault="005875D4">
    <w:pPr>
      <w:pStyle w:val="a7"/>
      <w:rPr>
        <w:rFonts w:ascii="Times New Roman" w:hAnsi="Times New Roman" w:cs="Times New Roman"/>
        <w:sz w:val="20"/>
        <w:szCs w:val="20"/>
      </w:rPr>
    </w:pPr>
    <w:r w:rsidRPr="005875D4">
      <w:rPr>
        <w:rFonts w:ascii="Times New Roman" w:hAnsi="Times New Roman" w:cs="Times New Roman"/>
        <w:sz w:val="20"/>
        <w:szCs w:val="20"/>
      </w:rPr>
      <w:t xml:space="preserve">Исполнитель: _____________ </w:t>
    </w:r>
    <w:r>
      <w:rPr>
        <w:rFonts w:ascii="Times New Roman" w:hAnsi="Times New Roman" w:cs="Times New Roman"/>
        <w:sz w:val="20"/>
        <w:szCs w:val="20"/>
      </w:rPr>
      <w:t>/</w:t>
    </w:r>
    <w:r w:rsidRPr="005875D4">
      <w:rPr>
        <w:rFonts w:ascii="Times New Roman" w:hAnsi="Times New Roman" w:cs="Times New Roman"/>
        <w:sz w:val="20"/>
        <w:szCs w:val="20"/>
      </w:rPr>
      <w:t>Зубко Л.В.</w:t>
    </w:r>
    <w:r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Партнер: _______________ /     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51" w:rsidRDefault="00744951" w:rsidP="00916A8E">
      <w:pPr>
        <w:spacing w:after="0" w:line="240" w:lineRule="auto"/>
      </w:pPr>
      <w:r>
        <w:separator/>
      </w:r>
    </w:p>
  </w:footnote>
  <w:footnote w:type="continuationSeparator" w:id="0">
    <w:p w:rsidR="00744951" w:rsidRDefault="00744951" w:rsidP="0091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E" w:rsidRDefault="00916A8E">
    <w:pPr>
      <w:pStyle w:val="a5"/>
    </w:pPr>
    <w:r>
      <w:rPr>
        <w:noProof/>
        <w:lang w:eastAsia="ru-RU"/>
      </w:rPr>
      <w:drawing>
        <wp:inline distT="0" distB="0" distL="0" distR="0">
          <wp:extent cx="6210300" cy="38290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saviro_с 10.12.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01F4"/>
    <w:multiLevelType w:val="multilevel"/>
    <w:tmpl w:val="4C5E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72F4"/>
    <w:multiLevelType w:val="multilevel"/>
    <w:tmpl w:val="C9EC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163763"/>
    <w:multiLevelType w:val="multilevel"/>
    <w:tmpl w:val="959C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23E39A9"/>
    <w:multiLevelType w:val="multilevel"/>
    <w:tmpl w:val="F630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E5913"/>
    <w:multiLevelType w:val="multilevel"/>
    <w:tmpl w:val="13DC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6460"/>
    <w:multiLevelType w:val="multilevel"/>
    <w:tmpl w:val="4CC47052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BF96497"/>
    <w:multiLevelType w:val="multilevel"/>
    <w:tmpl w:val="CBF0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2712D"/>
    <w:multiLevelType w:val="multilevel"/>
    <w:tmpl w:val="5326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16DED"/>
    <w:multiLevelType w:val="multilevel"/>
    <w:tmpl w:val="B472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90E46"/>
    <w:multiLevelType w:val="multilevel"/>
    <w:tmpl w:val="9526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52182"/>
    <w:multiLevelType w:val="multilevel"/>
    <w:tmpl w:val="6960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E0F8F"/>
    <w:multiLevelType w:val="multilevel"/>
    <w:tmpl w:val="7966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27B9C"/>
    <w:multiLevelType w:val="multilevel"/>
    <w:tmpl w:val="DA5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E24AB"/>
    <w:multiLevelType w:val="multilevel"/>
    <w:tmpl w:val="1C96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31F4D1B"/>
    <w:multiLevelType w:val="multilevel"/>
    <w:tmpl w:val="9684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1249D"/>
    <w:multiLevelType w:val="hybridMultilevel"/>
    <w:tmpl w:val="6DB889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3"/>
    <w:rsid w:val="00050724"/>
    <w:rsid w:val="0006146B"/>
    <w:rsid w:val="00074FE4"/>
    <w:rsid w:val="00082E4F"/>
    <w:rsid w:val="00096003"/>
    <w:rsid w:val="000B7AEA"/>
    <w:rsid w:val="000C3B6D"/>
    <w:rsid w:val="000D7182"/>
    <w:rsid w:val="000F0E2E"/>
    <w:rsid w:val="00114682"/>
    <w:rsid w:val="0011534F"/>
    <w:rsid w:val="00117F6C"/>
    <w:rsid w:val="0012554B"/>
    <w:rsid w:val="00156051"/>
    <w:rsid w:val="00167FCF"/>
    <w:rsid w:val="0017127A"/>
    <w:rsid w:val="00181BBF"/>
    <w:rsid w:val="001B455B"/>
    <w:rsid w:val="001C64F8"/>
    <w:rsid w:val="001D6C92"/>
    <w:rsid w:val="00201B35"/>
    <w:rsid w:val="00211553"/>
    <w:rsid w:val="00273846"/>
    <w:rsid w:val="002B0E90"/>
    <w:rsid w:val="00342C13"/>
    <w:rsid w:val="00373DA9"/>
    <w:rsid w:val="00383F34"/>
    <w:rsid w:val="00387057"/>
    <w:rsid w:val="00397896"/>
    <w:rsid w:val="003A6070"/>
    <w:rsid w:val="00425EAF"/>
    <w:rsid w:val="00444C20"/>
    <w:rsid w:val="00451210"/>
    <w:rsid w:val="004801AA"/>
    <w:rsid w:val="004B7ABF"/>
    <w:rsid w:val="004F4EF4"/>
    <w:rsid w:val="00545B2B"/>
    <w:rsid w:val="00563951"/>
    <w:rsid w:val="00573EA0"/>
    <w:rsid w:val="005875D4"/>
    <w:rsid w:val="005929B3"/>
    <w:rsid w:val="005C3228"/>
    <w:rsid w:val="005C48F6"/>
    <w:rsid w:val="005D196D"/>
    <w:rsid w:val="00602522"/>
    <w:rsid w:val="00633F61"/>
    <w:rsid w:val="006A6E97"/>
    <w:rsid w:val="007110CF"/>
    <w:rsid w:val="00737299"/>
    <w:rsid w:val="00744951"/>
    <w:rsid w:val="007F4187"/>
    <w:rsid w:val="00807A68"/>
    <w:rsid w:val="0083013A"/>
    <w:rsid w:val="0084222E"/>
    <w:rsid w:val="008B2089"/>
    <w:rsid w:val="00916A8E"/>
    <w:rsid w:val="009243D5"/>
    <w:rsid w:val="009469FF"/>
    <w:rsid w:val="00946B06"/>
    <w:rsid w:val="00993C6B"/>
    <w:rsid w:val="009A116A"/>
    <w:rsid w:val="009B1BCC"/>
    <w:rsid w:val="00A15F29"/>
    <w:rsid w:val="00A2278A"/>
    <w:rsid w:val="00B56817"/>
    <w:rsid w:val="00B660D5"/>
    <w:rsid w:val="00B95A50"/>
    <w:rsid w:val="00BC71B0"/>
    <w:rsid w:val="00BF1C2B"/>
    <w:rsid w:val="00BF665D"/>
    <w:rsid w:val="00C46D56"/>
    <w:rsid w:val="00C563E0"/>
    <w:rsid w:val="00C62955"/>
    <w:rsid w:val="00C66611"/>
    <w:rsid w:val="00D2663A"/>
    <w:rsid w:val="00D810BC"/>
    <w:rsid w:val="00DB4D93"/>
    <w:rsid w:val="00E248FC"/>
    <w:rsid w:val="00E84F47"/>
    <w:rsid w:val="00EE2186"/>
    <w:rsid w:val="00F11378"/>
    <w:rsid w:val="00F22BAB"/>
    <w:rsid w:val="00F23934"/>
    <w:rsid w:val="00F363BB"/>
    <w:rsid w:val="00F40C20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8407B-95E8-435A-A9FE-7FB81DB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E9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A8E"/>
  </w:style>
  <w:style w:type="paragraph" w:styleId="a7">
    <w:name w:val="footer"/>
    <w:basedOn w:val="a"/>
    <w:link w:val="a8"/>
    <w:uiPriority w:val="99"/>
    <w:unhideWhenUsed/>
    <w:rsid w:val="0091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A8E"/>
  </w:style>
  <w:style w:type="paragraph" w:styleId="a9">
    <w:name w:val="List Paragraph"/>
    <w:basedOn w:val="a"/>
    <w:uiPriority w:val="34"/>
    <w:qFormat/>
    <w:rsid w:val="00B660D5"/>
    <w:pPr>
      <w:ind w:left="720"/>
      <w:contextualSpacing/>
    </w:pPr>
  </w:style>
  <w:style w:type="table" w:styleId="aa">
    <w:name w:val="Table Grid"/>
    <w:basedOn w:val="a1"/>
    <w:uiPriority w:val="39"/>
    <w:rsid w:val="0038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F34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BC71B0"/>
    <w:pPr>
      <w:widowControl w:val="0"/>
      <w:spacing w:after="0" w:line="240" w:lineRule="auto"/>
      <w:ind w:left="104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BC71B0"/>
    <w:rPr>
      <w:rFonts w:ascii="Times New Roman" w:eastAsia="Times New Roman" w:hAnsi="Times New Roman"/>
      <w:lang w:val="en-US"/>
    </w:rPr>
  </w:style>
  <w:style w:type="character" w:styleId="af">
    <w:name w:val="FollowedHyperlink"/>
    <w:basedOn w:val="a0"/>
    <w:uiPriority w:val="99"/>
    <w:semiHidden/>
    <w:unhideWhenUsed/>
    <w:rsid w:val="00C62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r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lling.saviro.ru:150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st@savir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viro.ru/?from=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nager\Desktop\www.savir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1593</Words>
  <Characters>11219</Characters>
  <Application>Microsoft Office Word</Application>
  <DocSecurity>0</DocSecurity>
  <Lines>228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Блинова</dc:creator>
  <cp:keywords/>
  <dc:description/>
  <cp:lastModifiedBy>Наталья Блинова</cp:lastModifiedBy>
  <cp:revision>6</cp:revision>
  <cp:lastPrinted>2016-09-08T07:10:00Z</cp:lastPrinted>
  <dcterms:created xsi:type="dcterms:W3CDTF">2016-09-13T09:33:00Z</dcterms:created>
  <dcterms:modified xsi:type="dcterms:W3CDTF">2016-11-02T03:38:00Z</dcterms:modified>
</cp:coreProperties>
</file>